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0" w:line="600" w:lineRule="exac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val="en-US" w:eastAsia="zh-CN"/>
        </w:rPr>
        <w:t>2026年度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国家绿色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  <w:lang w:eastAsia="zh-CN"/>
        </w:rPr>
        <w:t>算力设施</w:t>
      </w:r>
      <w:r>
        <w:rPr>
          <w:rFonts w:hint="default" w:ascii="Times New Roman" w:hAnsi="Times New Roman" w:eastAsia="方正小标宋简体" w:cs="Times New Roman"/>
          <w:b w:val="0"/>
          <w:bCs w:val="0"/>
          <w:sz w:val="36"/>
          <w:szCs w:val="36"/>
        </w:rPr>
        <w:t>推荐汇总表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推荐单位（公章）：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 xml:space="preserve">联系人： </w:t>
      </w:r>
      <w:r>
        <w:rPr>
          <w:rFonts w:hint="default" w:ascii="Times New Roman" w:hAnsi="Times New Roman" w:eastAsia="仿宋" w:cs="Times New Roman"/>
          <w:bCs/>
          <w:sz w:val="28"/>
          <w:szCs w:val="28"/>
          <w:lang w:val="en-US" w:eastAsia="zh-CN"/>
        </w:rPr>
        <w:t xml:space="preserve"> 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联系电话：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722"/>
        <w:gridCol w:w="990"/>
        <w:gridCol w:w="990"/>
        <w:gridCol w:w="795"/>
        <w:gridCol w:w="1092"/>
        <w:gridCol w:w="864"/>
        <w:gridCol w:w="924"/>
        <w:gridCol w:w="1200"/>
        <w:gridCol w:w="1181"/>
        <w:gridCol w:w="1213"/>
        <w:gridCol w:w="1115"/>
        <w:gridCol w:w="1046"/>
        <w:gridCol w:w="997"/>
        <w:gridCol w:w="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7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序号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算力设施名称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所在</w:t>
            </w:r>
            <w:r>
              <w:rPr>
                <w:rFonts w:hint="default" w:ascii="Times New Roman" w:hAnsi="Times New Roman" w:eastAsia="黑体"/>
                <w:bCs/>
                <w:color w:val="000000"/>
                <w:kern w:val="0"/>
                <w:sz w:val="24"/>
                <w:szCs w:val="24"/>
                <w:highlight w:val="none"/>
              </w:rPr>
              <w:t>市（县、区）</w:t>
            </w:r>
          </w:p>
        </w:tc>
        <w:tc>
          <w:tcPr>
            <w:tcW w:w="7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申报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单位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算力设施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规模（标准机架数）</w:t>
            </w:r>
          </w:p>
        </w:tc>
        <w:tc>
          <w:tcPr>
            <w:tcW w:w="8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</w:rPr>
              <w:t>上架率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>%</w:t>
            </w: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9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Cs/>
                <w:i w:val="0"/>
                <w:iCs w:val="0"/>
                <w:caps w:val="0"/>
                <w:color w:val="000000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>算力规模（FLOPS）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</w:rPr>
              <w:t>总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耗电量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（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千瓦时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）</w:t>
            </w:r>
          </w:p>
        </w:tc>
        <w:tc>
          <w:tcPr>
            <w:tcW w:w="11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可再生能源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电量占比</w:t>
            </w:r>
            <w:r>
              <w:rPr>
                <w:rFonts w:hint="default" w:ascii="Times New Roman" w:hAnsi="Times New Roman" w:eastAsia="黑体" w:cs="Times New Roman"/>
                <w:bCs/>
                <w:color w:val="000000"/>
                <w:kern w:val="0"/>
                <w:sz w:val="24"/>
                <w:szCs w:val="24"/>
                <w:highlight w:val="none"/>
              </w:rPr>
              <w:t>（%）</w:t>
            </w:r>
          </w:p>
        </w:tc>
        <w:tc>
          <w:tcPr>
            <w:tcW w:w="12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实际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电能利用效率（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PUE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）</w:t>
            </w:r>
          </w:p>
        </w:tc>
        <w:tc>
          <w:tcPr>
            <w:tcW w:w="11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碳利用效率（CUE）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eastAsia="zh-CN" w:bidi="ar-SA"/>
              </w:rPr>
              <w:t>所属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领域（单选）</w:t>
            </w:r>
          </w:p>
        </w:tc>
        <w:tc>
          <w:tcPr>
            <w:tcW w:w="9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所属类型（单选）</w:t>
            </w:r>
          </w:p>
        </w:tc>
        <w:tc>
          <w:tcPr>
            <w:tcW w:w="9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是否符合审核程序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59" w:hRule="atLeast"/>
          <w:jc w:val="center"/>
        </w:trPr>
        <w:tc>
          <w:tcPr>
            <w:tcW w:w="72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1</w:t>
            </w:r>
          </w:p>
        </w:tc>
        <w:tc>
          <w:tcPr>
            <w:tcW w:w="99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center"/>
          </w:tcPr>
          <w:p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7" w:type="dxa"/>
            <w:noWrap w:val="0"/>
            <w:vAlign w:val="center"/>
          </w:tcPr>
          <w:p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noWrap w:val="0"/>
            <w:vAlign w:val="center"/>
          </w:tcPr>
          <w:p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72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2</w:t>
            </w:r>
          </w:p>
        </w:tc>
        <w:tc>
          <w:tcPr>
            <w:tcW w:w="99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13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center"/>
          </w:tcPr>
          <w:p>
            <w:pPr>
              <w:widowControl/>
              <w:spacing w:line="240" w:lineRule="auto"/>
              <w:jc w:val="both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center"/>
          </w:tcPr>
          <w:p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97" w:type="dxa"/>
            <w:noWrap w:val="0"/>
            <w:vAlign w:val="center"/>
          </w:tcPr>
          <w:p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noWrap w:val="0"/>
            <w:vAlign w:val="center"/>
          </w:tcPr>
          <w:p>
            <w:pPr>
              <w:snapToGrid w:val="0"/>
              <w:spacing w:line="240" w:lineRule="auto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2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  <w:t>..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.</w:t>
            </w:r>
          </w:p>
        </w:tc>
        <w:tc>
          <w:tcPr>
            <w:tcW w:w="99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9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92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86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24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81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213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15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046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7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997" w:type="dxa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vertAlign w:val="baseli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Lines="0"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  <w:lang w:val="en-US" w:eastAsia="zh-CN"/>
        </w:rPr>
        <w:t>备注：1.所属领域包括：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工业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信息通信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能源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互联网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金融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</w:rPr>
        <w:t>公共机构</w:t>
      </w: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Lines="0" w:line="560" w:lineRule="exact"/>
        <w:ind w:left="84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</w:pPr>
      <w:r>
        <w:rPr>
          <w:rFonts w:hint="default" w:ascii="Times New Roman" w:hAnsi="Times New Roman" w:eastAsia="仿宋_GB2312" w:cs="Times New Roman"/>
          <w:bCs/>
          <w:i w:val="0"/>
          <w:iCs w:val="0"/>
          <w:color w:val="000000"/>
          <w:kern w:val="0"/>
          <w:sz w:val="28"/>
          <w:szCs w:val="28"/>
          <w:highlight w:val="none"/>
          <w:lang w:val="en-US" w:eastAsia="zh-CN"/>
        </w:rPr>
        <w:t>2.所属类型包括：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智算设施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通算设施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</w:rPr>
        <w:t>、超算</w:t>
      </w:r>
      <w:r>
        <w:rPr>
          <w:rFonts w:hint="default" w:ascii="Times New Roman" w:hAnsi="Times New Roman" w:eastAsia="仿宋_GB2312" w:cs="Times New Roman"/>
          <w:i w:val="0"/>
          <w:iCs w:val="0"/>
          <w:kern w:val="0"/>
          <w:sz w:val="28"/>
          <w:szCs w:val="28"/>
          <w:lang w:eastAsia="zh-CN"/>
        </w:rPr>
        <w:t>设施。</w:t>
      </w:r>
    </w:p>
    <w:p>
      <w:pPr>
        <w:pStyle w:val="2"/>
        <w:numPr>
          <w:ilvl w:val="0"/>
          <w:numId w:val="0"/>
        </w:numPr>
        <w:tabs>
          <w:tab w:val="left" w:pos="1418"/>
        </w:tabs>
        <w:adjustRightInd w:val="0"/>
        <w:spacing w:before="0" w:after="0" w:line="560" w:lineRule="exact"/>
        <w:ind w:left="839" w:firstLine="0" w:firstLineChars="0"/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3.审核程序包括项目是否符合产业政策、产业规划以及是否履行完成开工建设审批等手续。</w:t>
      </w:r>
    </w:p>
    <w:p>
      <w:pPr>
        <w:pStyle w:val="2"/>
        <w:numPr>
          <w:ilvl w:val="0"/>
          <w:numId w:val="0"/>
        </w:numPr>
        <w:tabs>
          <w:tab w:val="left" w:pos="1418"/>
        </w:tabs>
        <w:adjustRightInd w:val="0"/>
        <w:spacing w:before="0" w:after="0" w:line="560" w:lineRule="exact"/>
        <w:ind w:left="839" w:firstLine="0" w:firstLineChars="0"/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28"/>
          <w:szCs w:val="28"/>
          <w:lang w:val="en-US" w:eastAsia="zh-CN"/>
        </w:rPr>
        <w:t>4.推荐单位（公章）处需省级工业和信息化主管部门、发展改革委同时盖章。</w:t>
      </w: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9EAFBE-8F95-4659-946D-9F073C96BD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00763CD-56D6-432C-9485-F8F3D7958D9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711EDFB-83AF-4080-A6CC-5EF38345E273}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FF79AD1-1940-457B-B691-FAF7A82FBA90}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  <w:embedRegular r:id="rId5" w:fontKey="{7AD55D34-8469-456C-BD1B-253B74D5711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46B126E"/>
    <w:multiLevelType w:val="multilevel"/>
    <w:tmpl w:val="546B126E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3BCFDD"/>
    <w:rsid w:val="1FEB3144"/>
    <w:rsid w:val="DF3BCFDD"/>
    <w:rsid w:val="E75F7B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2026-09-20T16:10:00Z</dcterms:created>
  <dc:creator>kylin</dc:creator>
  <cp:lastModifiedBy>陈</cp:lastModifiedBy>
  <dcterms:modified xsi:type="dcterms:W3CDTF">2026-09-21T08:53:55Z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9745BF7801764AFA9AA25F6F13834823_13</vt:lpwstr>
  </property>
</Properties>
</file>